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661" w:rsidRPr="006E1661" w:rsidRDefault="006E1661" w:rsidP="006E1661">
      <w:pPr>
        <w:pStyle w:val="a3"/>
        <w:shd w:val="clear" w:color="auto" w:fill="FFFFFF" w:themeFill="background1"/>
        <w:spacing w:before="0" w:beforeAutospacing="0" w:after="150" w:afterAutospacing="0"/>
        <w:jc w:val="center"/>
        <w:rPr>
          <w:sz w:val="28"/>
          <w:szCs w:val="21"/>
        </w:rPr>
      </w:pPr>
      <w:r w:rsidRPr="006E1661">
        <w:rPr>
          <w:b/>
          <w:bCs/>
          <w:sz w:val="28"/>
          <w:szCs w:val="21"/>
        </w:rPr>
        <w:t>Противодействие</w:t>
      </w:r>
      <w:r w:rsidRPr="006E1661">
        <w:rPr>
          <w:b/>
          <w:bCs/>
          <w:sz w:val="28"/>
          <w:szCs w:val="21"/>
        </w:rPr>
        <w:t xml:space="preserve"> экстремизм</w:t>
      </w:r>
      <w:r w:rsidRPr="006E1661">
        <w:rPr>
          <w:b/>
          <w:bCs/>
          <w:sz w:val="28"/>
          <w:szCs w:val="21"/>
        </w:rPr>
        <w:t>у</w:t>
      </w:r>
      <w:r w:rsidRPr="006E1661">
        <w:rPr>
          <w:b/>
          <w:bCs/>
          <w:sz w:val="28"/>
          <w:szCs w:val="21"/>
        </w:rPr>
        <w:t xml:space="preserve"> в подростковой среде</w:t>
      </w:r>
    </w:p>
    <w:p w:rsidR="006E1661" w:rsidRPr="006E1661" w:rsidRDefault="006E1661" w:rsidP="006E1661">
      <w:pPr>
        <w:pStyle w:val="a3"/>
        <w:shd w:val="clear" w:color="auto" w:fill="FFFFFF" w:themeFill="background1"/>
        <w:spacing w:before="0" w:beforeAutospacing="0" w:after="150" w:afterAutospacing="0"/>
        <w:jc w:val="both"/>
        <w:rPr>
          <w:sz w:val="28"/>
          <w:szCs w:val="21"/>
        </w:rPr>
      </w:pP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6E1661">
        <w:rPr>
          <w:sz w:val="28"/>
          <w:szCs w:val="21"/>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6E1661">
        <w:rPr>
          <w:sz w:val="28"/>
          <w:szCs w:val="21"/>
        </w:rPr>
        <w:t xml:space="preserve"> В обстановке конфликта - демонстрация жёсткой формы разрешения конфликта.</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Считать те или иные действия экстремистскими позволяет совокупность следующих критериев:</w:t>
      </w:r>
    </w:p>
    <w:p w:rsidR="006E1661" w:rsidRPr="006E1661" w:rsidRDefault="006E1661" w:rsidP="006E1661">
      <w:pPr>
        <w:pStyle w:val="a3"/>
        <w:numPr>
          <w:ilvl w:val="0"/>
          <w:numId w:val="1"/>
        </w:numPr>
        <w:shd w:val="clear" w:color="auto" w:fill="FFFFFF" w:themeFill="background1"/>
        <w:spacing w:before="0" w:beforeAutospacing="0" w:after="150" w:afterAutospacing="0"/>
        <w:jc w:val="both"/>
        <w:rPr>
          <w:sz w:val="28"/>
          <w:szCs w:val="21"/>
        </w:rPr>
      </w:pPr>
      <w:r w:rsidRPr="006E1661">
        <w:rPr>
          <w:sz w:val="28"/>
          <w:szCs w:val="21"/>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6E1661" w:rsidRPr="006E1661" w:rsidRDefault="006E1661" w:rsidP="006E1661">
      <w:pPr>
        <w:pStyle w:val="a3"/>
        <w:numPr>
          <w:ilvl w:val="0"/>
          <w:numId w:val="1"/>
        </w:numPr>
        <w:shd w:val="clear" w:color="auto" w:fill="FFFFFF" w:themeFill="background1"/>
        <w:spacing w:before="0" w:beforeAutospacing="0" w:after="150" w:afterAutospacing="0"/>
        <w:jc w:val="both"/>
        <w:rPr>
          <w:sz w:val="28"/>
          <w:szCs w:val="21"/>
        </w:rPr>
      </w:pPr>
      <w:r w:rsidRPr="006E1661">
        <w:rPr>
          <w:sz w:val="28"/>
          <w:szCs w:val="21"/>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6E1661">
        <w:rPr>
          <w:sz w:val="28"/>
          <w:szCs w:val="21"/>
        </w:rPr>
        <w:t>,</w:t>
      </w:r>
      <w:proofErr w:type="gramEnd"/>
      <w:r w:rsidRPr="006E1661">
        <w:rPr>
          <w:sz w:val="28"/>
          <w:szCs w:val="21"/>
        </w:rPr>
        <w:t xml:space="preserve"> деятельность по пропаганде и публичному демонстрированию и такой символики будет содержать признаки экстремизма.</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Следует выделить основные особенности экстремизма в молодежной среде.</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b/>
          <w:bCs/>
          <w:sz w:val="28"/>
          <w:szCs w:val="21"/>
        </w:rPr>
        <w:lastRenderedPageBreak/>
        <w:t>Во-первых</w:t>
      </w:r>
      <w:r w:rsidRPr="006E1661">
        <w:rPr>
          <w:sz w:val="28"/>
          <w:szCs w:val="21"/>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b/>
          <w:bCs/>
          <w:sz w:val="28"/>
          <w:szCs w:val="21"/>
        </w:rPr>
        <w:t>Во-вторых</w:t>
      </w:r>
      <w:r w:rsidRPr="006E1661">
        <w:rPr>
          <w:sz w:val="28"/>
          <w:szCs w:val="21"/>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b/>
          <w:bCs/>
          <w:sz w:val="28"/>
          <w:szCs w:val="21"/>
        </w:rPr>
        <w:t>В-третьих</w:t>
      </w:r>
      <w:r w:rsidRPr="006E1661">
        <w:rPr>
          <w:sz w:val="28"/>
          <w:szCs w:val="21"/>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b/>
          <w:bCs/>
          <w:sz w:val="28"/>
          <w:szCs w:val="21"/>
        </w:rPr>
        <w:t>В-четвертых</w:t>
      </w:r>
      <w:r w:rsidRPr="006E1661">
        <w:rPr>
          <w:sz w:val="28"/>
          <w:szCs w:val="21"/>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6E1661" w:rsidRPr="006E1661" w:rsidRDefault="006E1661" w:rsidP="006E1661">
      <w:pPr>
        <w:pStyle w:val="a3"/>
        <w:shd w:val="clear" w:color="auto" w:fill="FFFFFF" w:themeFill="background1"/>
        <w:spacing w:before="0" w:beforeAutospacing="0" w:after="150" w:afterAutospacing="0"/>
        <w:rPr>
          <w:sz w:val="28"/>
          <w:szCs w:val="21"/>
        </w:rPr>
      </w:pPr>
      <w:r w:rsidRPr="006E1661">
        <w:rPr>
          <w:b/>
          <w:bCs/>
          <w:sz w:val="28"/>
          <w:szCs w:val="21"/>
        </w:rPr>
        <w:t>Причиной возникновения экстремистских проявлений в молодежной среде, можно выделить следующие особо значимые факторы:</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lastRenderedPageBreak/>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6E1661">
        <w:rPr>
          <w:sz w:val="28"/>
          <w:szCs w:val="21"/>
        </w:rPr>
        <w:t xml:space="preserve"> ?</w:t>
      </w:r>
      <w:proofErr w:type="gramEnd"/>
      <w:r w:rsidRPr="006E1661">
        <w:rPr>
          <w:sz w:val="28"/>
          <w:szCs w:val="21"/>
        </w:rPr>
        <w:t xml:space="preserve"> «они». Также ему присуща неустойчивая психика, легко подверженная внушению и манипулированию. </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proofErr w:type="gramStart"/>
      <w:r w:rsidRPr="006E1661">
        <w:rPr>
          <w:sz w:val="28"/>
          <w:szCs w:val="21"/>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6E1661">
        <w:rPr>
          <w:sz w:val="28"/>
          <w:szCs w:val="21"/>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Исходя из этого, вытекают следующие направления в работе по профилактики экстремизма и терроризма в образовательном процессе:</w:t>
      </w:r>
    </w:p>
    <w:p w:rsidR="006E1661" w:rsidRPr="006E1661" w:rsidRDefault="006E1661" w:rsidP="006E1661">
      <w:pPr>
        <w:pStyle w:val="a3"/>
        <w:numPr>
          <w:ilvl w:val="0"/>
          <w:numId w:val="2"/>
        </w:numPr>
        <w:shd w:val="clear" w:color="auto" w:fill="FFFFFF" w:themeFill="background1"/>
        <w:spacing w:before="0" w:beforeAutospacing="0" w:after="150" w:afterAutospacing="0"/>
        <w:jc w:val="both"/>
        <w:rPr>
          <w:sz w:val="28"/>
          <w:szCs w:val="21"/>
        </w:rPr>
      </w:pPr>
      <w:r w:rsidRPr="006E1661">
        <w:rPr>
          <w:sz w:val="28"/>
          <w:szCs w:val="21"/>
        </w:rPr>
        <w:t>Информирование молодежи об экстремизме, об опасности экстремистских организаций;</w:t>
      </w:r>
    </w:p>
    <w:p w:rsidR="006E1661" w:rsidRPr="006E1661" w:rsidRDefault="006E1661" w:rsidP="006E1661">
      <w:pPr>
        <w:pStyle w:val="a3"/>
        <w:numPr>
          <w:ilvl w:val="0"/>
          <w:numId w:val="2"/>
        </w:numPr>
        <w:shd w:val="clear" w:color="auto" w:fill="FFFFFF" w:themeFill="background1"/>
        <w:spacing w:before="0" w:beforeAutospacing="0" w:after="150" w:afterAutospacing="0"/>
        <w:jc w:val="both"/>
        <w:rPr>
          <w:sz w:val="28"/>
          <w:szCs w:val="21"/>
        </w:rPr>
      </w:pPr>
      <w:r w:rsidRPr="006E1661">
        <w:rPr>
          <w:sz w:val="28"/>
          <w:szCs w:val="21"/>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6E1661" w:rsidRPr="006E1661" w:rsidRDefault="006E1661" w:rsidP="006E1661">
      <w:pPr>
        <w:pStyle w:val="a3"/>
        <w:numPr>
          <w:ilvl w:val="0"/>
          <w:numId w:val="2"/>
        </w:numPr>
        <w:shd w:val="clear" w:color="auto" w:fill="FFFFFF" w:themeFill="background1"/>
        <w:spacing w:before="0" w:beforeAutospacing="0" w:after="150" w:afterAutospacing="0"/>
        <w:jc w:val="both"/>
        <w:rPr>
          <w:sz w:val="28"/>
          <w:szCs w:val="21"/>
        </w:rPr>
      </w:pPr>
      <w:r w:rsidRPr="006E1661">
        <w:rPr>
          <w:sz w:val="28"/>
          <w:szCs w:val="21"/>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6E1661" w:rsidRPr="006E1661" w:rsidRDefault="006E1661" w:rsidP="006E1661">
      <w:pPr>
        <w:pStyle w:val="a3"/>
        <w:numPr>
          <w:ilvl w:val="0"/>
          <w:numId w:val="2"/>
        </w:numPr>
        <w:shd w:val="clear" w:color="auto" w:fill="FFFFFF" w:themeFill="background1"/>
        <w:spacing w:before="0" w:beforeAutospacing="0" w:after="150" w:afterAutospacing="0"/>
        <w:jc w:val="both"/>
        <w:rPr>
          <w:sz w:val="28"/>
          <w:szCs w:val="21"/>
        </w:rPr>
      </w:pPr>
      <w:r w:rsidRPr="006E1661">
        <w:rPr>
          <w:sz w:val="28"/>
          <w:szCs w:val="21"/>
        </w:rPr>
        <w:t>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6E1661" w:rsidRPr="006E1661" w:rsidRDefault="006E1661" w:rsidP="006E1661">
      <w:pPr>
        <w:pStyle w:val="a3"/>
        <w:numPr>
          <w:ilvl w:val="0"/>
          <w:numId w:val="2"/>
        </w:numPr>
        <w:shd w:val="clear" w:color="auto" w:fill="FFFFFF" w:themeFill="background1"/>
        <w:spacing w:before="0" w:beforeAutospacing="0" w:after="150" w:afterAutospacing="0"/>
        <w:jc w:val="both"/>
        <w:rPr>
          <w:sz w:val="28"/>
          <w:szCs w:val="21"/>
        </w:rPr>
      </w:pPr>
      <w:r w:rsidRPr="006E1661">
        <w:rPr>
          <w:sz w:val="28"/>
          <w:szCs w:val="21"/>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6E1661" w:rsidRPr="006E1661" w:rsidRDefault="006E1661" w:rsidP="006E1661">
      <w:pPr>
        <w:pStyle w:val="a3"/>
        <w:numPr>
          <w:ilvl w:val="0"/>
          <w:numId w:val="2"/>
        </w:numPr>
        <w:shd w:val="clear" w:color="auto" w:fill="FFFFFF" w:themeFill="background1"/>
        <w:spacing w:before="0" w:beforeAutospacing="0" w:after="150" w:afterAutospacing="0"/>
        <w:jc w:val="both"/>
        <w:rPr>
          <w:sz w:val="28"/>
          <w:szCs w:val="21"/>
        </w:rPr>
      </w:pPr>
      <w:r w:rsidRPr="006E1661">
        <w:rPr>
          <w:sz w:val="28"/>
          <w:szCs w:val="21"/>
        </w:rPr>
        <w:lastRenderedPageBreak/>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6E1661" w:rsidRPr="006E1661" w:rsidRDefault="006E1661" w:rsidP="006E1661">
      <w:pPr>
        <w:pStyle w:val="a3"/>
        <w:numPr>
          <w:ilvl w:val="0"/>
          <w:numId w:val="2"/>
        </w:numPr>
        <w:shd w:val="clear" w:color="auto" w:fill="FFFFFF" w:themeFill="background1"/>
        <w:spacing w:before="0" w:beforeAutospacing="0" w:after="150" w:afterAutospacing="0"/>
        <w:jc w:val="both"/>
        <w:rPr>
          <w:sz w:val="28"/>
          <w:szCs w:val="21"/>
        </w:rPr>
      </w:pPr>
      <w:r w:rsidRPr="006E1661">
        <w:rPr>
          <w:sz w:val="28"/>
          <w:szCs w:val="21"/>
        </w:rPr>
        <w:t>Научить детей ценить разнообразие и различия, уважать достоинство каждого человека. </w:t>
      </w:r>
    </w:p>
    <w:p w:rsidR="006E1661" w:rsidRPr="006E1661" w:rsidRDefault="006E1661" w:rsidP="006E1661">
      <w:pPr>
        <w:pStyle w:val="a3"/>
        <w:numPr>
          <w:ilvl w:val="0"/>
          <w:numId w:val="2"/>
        </w:numPr>
        <w:shd w:val="clear" w:color="auto" w:fill="FFFFFF" w:themeFill="background1"/>
        <w:spacing w:before="0" w:beforeAutospacing="0" w:after="150" w:afterAutospacing="0"/>
        <w:jc w:val="both"/>
        <w:rPr>
          <w:sz w:val="28"/>
          <w:szCs w:val="21"/>
        </w:rPr>
      </w:pPr>
      <w:r w:rsidRPr="006E1661">
        <w:rPr>
          <w:sz w:val="28"/>
          <w:szCs w:val="21"/>
        </w:rPr>
        <w:t>Создание условий для снижения агрессии, напряженности;</w:t>
      </w:r>
    </w:p>
    <w:p w:rsidR="006E1661" w:rsidRPr="006E1661" w:rsidRDefault="006E1661" w:rsidP="006E1661">
      <w:pPr>
        <w:pStyle w:val="a3"/>
        <w:numPr>
          <w:ilvl w:val="0"/>
          <w:numId w:val="2"/>
        </w:numPr>
        <w:shd w:val="clear" w:color="auto" w:fill="FFFFFF" w:themeFill="background1"/>
        <w:spacing w:before="0" w:beforeAutospacing="0" w:after="150" w:afterAutospacing="0"/>
        <w:jc w:val="both"/>
        <w:rPr>
          <w:sz w:val="28"/>
          <w:szCs w:val="21"/>
        </w:rPr>
      </w:pPr>
      <w:r w:rsidRPr="006E1661">
        <w:rPr>
          <w:sz w:val="28"/>
          <w:szCs w:val="21"/>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6E1661" w:rsidRPr="006E1661" w:rsidRDefault="006E1661" w:rsidP="006E1661">
      <w:pPr>
        <w:pStyle w:val="a3"/>
        <w:shd w:val="clear" w:color="auto" w:fill="FFFFFF" w:themeFill="background1"/>
        <w:spacing w:before="0" w:beforeAutospacing="0" w:after="150" w:afterAutospacing="0"/>
        <w:ind w:firstLine="851"/>
        <w:jc w:val="both"/>
        <w:rPr>
          <w:sz w:val="28"/>
          <w:szCs w:val="21"/>
        </w:rPr>
      </w:pPr>
      <w:r w:rsidRPr="006E1661">
        <w:rPr>
          <w:sz w:val="28"/>
          <w:szCs w:val="21"/>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671944" w:rsidRPr="006E1661" w:rsidRDefault="00671944" w:rsidP="006E1661">
      <w:pPr>
        <w:shd w:val="clear" w:color="auto" w:fill="FFFFFF" w:themeFill="background1"/>
        <w:jc w:val="both"/>
      </w:pPr>
      <w:bookmarkStart w:id="0" w:name="_GoBack"/>
      <w:bookmarkEnd w:id="0"/>
    </w:p>
    <w:sectPr w:rsidR="00671944" w:rsidRPr="006E1661" w:rsidSect="006E1661">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A45"/>
    <w:multiLevelType w:val="multilevel"/>
    <w:tmpl w:val="4802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3E6F29"/>
    <w:multiLevelType w:val="multilevel"/>
    <w:tmpl w:val="7F58B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61"/>
    <w:rsid w:val="00671944"/>
    <w:rsid w:val="006E1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16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16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1240</Words>
  <Characters>7069</Characters>
  <Application>Microsoft Office Word</Application>
  <DocSecurity>0</DocSecurity>
  <Lines>58</Lines>
  <Paragraphs>16</Paragraphs>
  <ScaleCrop>false</ScaleCrop>
  <Company>Home</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2024-01-31T13:41:00Z</dcterms:created>
  <dcterms:modified xsi:type="dcterms:W3CDTF">2024-01-31T13:44:00Z</dcterms:modified>
</cp:coreProperties>
</file>